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2" w:rsidRDefault="00FA3A72" w:rsidP="00FA3A72">
      <w:pPr>
        <w:spacing w:before="100" w:beforeAutospacing="1" w:after="100" w:afterAutospacing="1"/>
        <w:outlineLvl w:val="0"/>
        <w:rPr>
          <w:rStyle w:val="Gl"/>
        </w:rPr>
      </w:pPr>
    </w:p>
    <w:p w:rsidR="00FA3A72" w:rsidRPr="00D63136" w:rsidRDefault="00FA3A72" w:rsidP="00FA3A72">
      <w:pPr>
        <w:spacing w:before="100" w:beforeAutospacing="1" w:after="100" w:afterAutospacing="1"/>
        <w:outlineLvl w:val="0"/>
        <w:rPr>
          <w:rStyle w:val="G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0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40"/>
      </w:tblGrid>
      <w:tr w:rsidR="00FA3A72" w:rsidRPr="00D63136" w:rsidTr="00FA3A72">
        <w:trPr>
          <w:tblCellSpacing w:w="0" w:type="dxa"/>
        </w:trPr>
        <w:tc>
          <w:tcPr>
            <w:tcW w:w="8040" w:type="dxa"/>
            <w:hideMark/>
          </w:tcPr>
          <w:p w:rsidR="00FA3A72" w:rsidRPr="00D63136" w:rsidRDefault="00FA3A72" w:rsidP="00FA3A7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proofErr w:type="spellStart"/>
            <w:r w:rsidRPr="00D63136">
              <w:rPr>
                <w:b/>
                <w:bCs/>
                <w:kern w:val="36"/>
                <w:sz w:val="22"/>
                <w:szCs w:val="22"/>
              </w:rPr>
              <w:t>Geçici</w:t>
            </w:r>
            <w:proofErr w:type="spellEnd"/>
            <w:r w:rsidRPr="00D63136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kern w:val="36"/>
                <w:sz w:val="22"/>
                <w:szCs w:val="22"/>
              </w:rPr>
              <w:t>Vergi</w:t>
            </w:r>
            <w:proofErr w:type="spellEnd"/>
            <w:r w:rsidRPr="00D63136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kern w:val="36"/>
                <w:sz w:val="22"/>
                <w:szCs w:val="22"/>
              </w:rPr>
              <w:t>Dönemlerinde</w:t>
            </w:r>
            <w:proofErr w:type="spellEnd"/>
            <w:r w:rsidRPr="00D63136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kern w:val="36"/>
                <w:sz w:val="22"/>
                <w:szCs w:val="22"/>
              </w:rPr>
              <w:t>Yeniden</w:t>
            </w:r>
            <w:proofErr w:type="spellEnd"/>
            <w:r w:rsidRPr="00D63136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kern w:val="36"/>
                <w:sz w:val="22"/>
                <w:szCs w:val="22"/>
              </w:rPr>
              <w:t>Değerleme</w:t>
            </w:r>
            <w:proofErr w:type="spellEnd"/>
            <w:r w:rsidRPr="00D63136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kern w:val="36"/>
                <w:sz w:val="22"/>
                <w:szCs w:val="22"/>
              </w:rPr>
              <w:t>Oranı</w:t>
            </w:r>
            <w:proofErr w:type="spellEnd"/>
            <w:r w:rsidRPr="00D63136">
              <w:rPr>
                <w:b/>
                <w:bCs/>
                <w:kern w:val="36"/>
                <w:sz w:val="22"/>
                <w:szCs w:val="22"/>
              </w:rPr>
              <w:br/>
            </w:r>
            <w:r w:rsidRPr="00D63136">
              <w:rPr>
                <w:b/>
                <w:bCs/>
                <w:kern w:val="36"/>
                <w:sz w:val="22"/>
                <w:szCs w:val="22"/>
              </w:rPr>
              <w:br/>
            </w:r>
          </w:p>
        </w:tc>
      </w:tr>
    </w:tbl>
    <w:p w:rsidR="00FA3A72" w:rsidRPr="00D63136" w:rsidRDefault="00FA3A72" w:rsidP="00FA3A72">
      <w:pPr>
        <w:jc w:val="center"/>
        <w:rPr>
          <w:vanish/>
          <w:sz w:val="22"/>
          <w:szCs w:val="22"/>
        </w:rPr>
      </w:pPr>
    </w:p>
    <w:tbl>
      <w:tblPr>
        <w:tblW w:w="8040" w:type="dxa"/>
        <w:jc w:val="center"/>
        <w:tblCellSpacing w:w="0" w:type="dxa"/>
        <w:tblCellMar>
          <w:left w:w="92" w:type="dxa"/>
          <w:right w:w="0" w:type="dxa"/>
        </w:tblCellMar>
        <w:tblLook w:val="04A0"/>
      </w:tblPr>
      <w:tblGrid>
        <w:gridCol w:w="940"/>
        <w:gridCol w:w="7100"/>
      </w:tblGrid>
      <w:tr w:rsidR="00FA3A72" w:rsidRPr="00D63136" w:rsidTr="00FA3A72">
        <w:trPr>
          <w:tblCellSpacing w:w="0" w:type="dxa"/>
          <w:jc w:val="center"/>
        </w:trPr>
        <w:tc>
          <w:tcPr>
            <w:tcW w:w="912" w:type="dxa"/>
            <w:hideMark/>
          </w:tcPr>
          <w:p w:rsidR="00FA3A72" w:rsidRPr="00D63136" w:rsidRDefault="00FA3A72">
            <w:pPr>
              <w:rPr>
                <w:sz w:val="22"/>
                <w:szCs w:val="22"/>
              </w:rPr>
            </w:pPr>
            <w:proofErr w:type="spellStart"/>
            <w:r w:rsidRPr="00D63136">
              <w:rPr>
                <w:b/>
                <w:bCs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888" w:type="dxa"/>
            <w:hideMark/>
          </w:tcPr>
          <w:p w:rsidR="00FA3A72" w:rsidRPr="00D63136" w:rsidRDefault="00FA3A72">
            <w:pPr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>17/10/2012</w:t>
            </w:r>
          </w:p>
        </w:tc>
      </w:tr>
      <w:tr w:rsidR="00FA3A72" w:rsidRPr="00D63136" w:rsidTr="00FA3A72">
        <w:trPr>
          <w:tblCellSpacing w:w="0" w:type="dxa"/>
          <w:jc w:val="center"/>
        </w:trPr>
        <w:tc>
          <w:tcPr>
            <w:tcW w:w="912" w:type="dxa"/>
            <w:hideMark/>
          </w:tcPr>
          <w:p w:rsidR="00FA3A72" w:rsidRPr="00D63136" w:rsidRDefault="00FA3A72">
            <w:pPr>
              <w:rPr>
                <w:sz w:val="22"/>
                <w:szCs w:val="22"/>
              </w:rPr>
            </w:pPr>
            <w:proofErr w:type="spellStart"/>
            <w:r w:rsidRPr="00D63136">
              <w:rPr>
                <w:b/>
                <w:bCs/>
                <w:sz w:val="22"/>
                <w:szCs w:val="22"/>
              </w:rPr>
              <w:t>Sayı</w:t>
            </w:r>
            <w:proofErr w:type="spellEnd"/>
          </w:p>
        </w:tc>
        <w:tc>
          <w:tcPr>
            <w:tcW w:w="6888" w:type="dxa"/>
            <w:hideMark/>
          </w:tcPr>
          <w:p w:rsidR="00FA3A72" w:rsidRPr="00D63136" w:rsidRDefault="00FA3A72">
            <w:pPr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KVK-25/2012-4 / </w:t>
            </w:r>
            <w:proofErr w:type="spellStart"/>
            <w:r w:rsidRPr="00D63136">
              <w:rPr>
                <w:sz w:val="22"/>
                <w:szCs w:val="22"/>
              </w:rPr>
              <w:t>Yatırım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İndirimi</w:t>
            </w:r>
            <w:proofErr w:type="spellEnd"/>
            <w:r w:rsidRPr="00D63136">
              <w:rPr>
                <w:sz w:val="22"/>
                <w:szCs w:val="22"/>
              </w:rPr>
              <w:t xml:space="preserve"> - 18</w:t>
            </w:r>
          </w:p>
        </w:tc>
      </w:tr>
      <w:tr w:rsidR="00FA3A72" w:rsidRPr="00D63136" w:rsidTr="00FA3A72">
        <w:trPr>
          <w:tblCellSpacing w:w="0" w:type="dxa"/>
          <w:jc w:val="center"/>
        </w:trPr>
        <w:tc>
          <w:tcPr>
            <w:tcW w:w="912" w:type="dxa"/>
            <w:hideMark/>
          </w:tcPr>
          <w:p w:rsidR="00FA3A72" w:rsidRPr="00D63136" w:rsidRDefault="00FA3A72">
            <w:pPr>
              <w:rPr>
                <w:sz w:val="22"/>
                <w:szCs w:val="22"/>
              </w:rPr>
            </w:pPr>
            <w:proofErr w:type="spellStart"/>
            <w:r w:rsidRPr="00D63136">
              <w:rPr>
                <w:b/>
                <w:bCs/>
                <w:sz w:val="22"/>
                <w:szCs w:val="22"/>
              </w:rPr>
              <w:t>Kapsam</w:t>
            </w:r>
            <w:proofErr w:type="spellEnd"/>
          </w:p>
        </w:tc>
        <w:tc>
          <w:tcPr>
            <w:tcW w:w="6888" w:type="dxa"/>
            <w:hideMark/>
          </w:tcPr>
          <w:p w:rsidR="00FA3A72" w:rsidRPr="00D63136" w:rsidRDefault="00FA3A72">
            <w:pPr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pict>
                <v:shape id="_x0000_i1025" type="#_x0000_t75" style="width:.75pt;height:.75pt"/>
              </w:pict>
            </w:r>
          </w:p>
        </w:tc>
      </w:tr>
      <w:tr w:rsidR="00FA3A72" w:rsidRPr="00D63136" w:rsidTr="00FA3A72">
        <w:trPr>
          <w:tblCellSpacing w:w="0" w:type="dxa"/>
          <w:jc w:val="center"/>
        </w:trPr>
        <w:tc>
          <w:tcPr>
            <w:tcW w:w="7560" w:type="dxa"/>
            <w:gridSpan w:val="2"/>
            <w:hideMark/>
          </w:tcPr>
          <w:p w:rsidR="00FA3A72" w:rsidRPr="00D63136" w:rsidRDefault="00FA3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3136">
              <w:rPr>
                <w:b/>
                <w:bCs/>
                <w:sz w:val="22"/>
                <w:szCs w:val="22"/>
              </w:rPr>
              <w:t>T.C.</w:t>
            </w:r>
          </w:p>
          <w:p w:rsidR="00FA3A72" w:rsidRPr="00D63136" w:rsidRDefault="00FA3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3136">
              <w:rPr>
                <w:b/>
                <w:bCs/>
                <w:sz w:val="22"/>
                <w:szCs w:val="22"/>
              </w:rPr>
              <w:t>MALİYE BAKANLIĞI</w:t>
            </w:r>
          </w:p>
          <w:p w:rsidR="00FA3A72" w:rsidRPr="00D63136" w:rsidRDefault="00FA3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D63136">
              <w:rPr>
                <w:b/>
                <w:bCs/>
                <w:sz w:val="22"/>
                <w:szCs w:val="22"/>
              </w:rPr>
              <w:t>Gelir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İdaresi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Başkanlığı</w:t>
            </w:r>
            <w:proofErr w:type="spellEnd"/>
          </w:p>
          <w:p w:rsidR="00FA3A72" w:rsidRPr="00D63136" w:rsidRDefault="00FA3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3136">
              <w:rPr>
                <w:b/>
                <w:bCs/>
                <w:sz w:val="22"/>
                <w:szCs w:val="22"/>
              </w:rPr>
              <w:t xml:space="preserve">5520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sayılı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Kurumlar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Vergisi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Kanunu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</w:rPr>
              <w:t>Sirküleri</w:t>
            </w:r>
            <w:proofErr w:type="spellEnd"/>
            <w:r w:rsidRPr="00D63136">
              <w:rPr>
                <w:b/>
                <w:bCs/>
                <w:sz w:val="22"/>
                <w:szCs w:val="22"/>
              </w:rPr>
              <w:t xml:space="preserve"> /25</w:t>
            </w:r>
          </w:p>
          <w:p w:rsidR="00FA3A72" w:rsidRPr="00D63136" w:rsidRDefault="00FA3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0"/>
              <w:gridCol w:w="5278"/>
            </w:tblGrid>
            <w:tr w:rsidR="00FA3A72" w:rsidRPr="00D63136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Konusu</w:t>
                  </w:r>
                  <w:proofErr w:type="spellEnd"/>
                </w:p>
              </w:tc>
              <w:tc>
                <w:tcPr>
                  <w:tcW w:w="576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Geçici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Dönemlerinde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Yeniden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Değerleme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Oranı</w:t>
                  </w:r>
                  <w:proofErr w:type="spellEnd"/>
                </w:p>
              </w:tc>
            </w:tr>
            <w:tr w:rsidR="00FA3A72" w:rsidRPr="00D63136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Tarihi</w:t>
                  </w:r>
                  <w:proofErr w:type="spellEnd"/>
                </w:p>
              </w:tc>
              <w:tc>
                <w:tcPr>
                  <w:tcW w:w="576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>: 17/10/2012</w:t>
                  </w:r>
                </w:p>
              </w:tc>
            </w:tr>
            <w:tr w:rsidR="00FA3A72" w:rsidRPr="00D63136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Sayısı</w:t>
                  </w:r>
                  <w:proofErr w:type="spellEnd"/>
                </w:p>
              </w:tc>
              <w:tc>
                <w:tcPr>
                  <w:tcW w:w="576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 xml:space="preserve">: KVK-25/2012-4 /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Yatırım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İndirimi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- 18</w:t>
                  </w:r>
                </w:p>
              </w:tc>
            </w:tr>
            <w:tr w:rsidR="00FA3A72" w:rsidRPr="00D63136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İlgili</w:t>
                  </w:r>
                  <w:proofErr w:type="spellEnd"/>
                  <w:r w:rsidRPr="00D6313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Olduğu</w:t>
                  </w:r>
                  <w:proofErr w:type="spellEnd"/>
                  <w:r w:rsidRPr="00D6313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Maddeler</w:t>
                  </w:r>
                  <w:proofErr w:type="spellEnd"/>
                </w:p>
              </w:tc>
              <w:tc>
                <w:tcPr>
                  <w:tcW w:w="576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Vergi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Usul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Mükerrer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Madde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298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Gelir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Vergisi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Kanunu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Geçici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Madde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69</w:t>
                  </w:r>
                </w:p>
              </w:tc>
            </w:tr>
            <w:tr w:rsidR="00FA3A72" w:rsidRPr="00D63136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İlgili</w:t>
                  </w:r>
                  <w:proofErr w:type="spellEnd"/>
                  <w:r w:rsidRPr="00D6313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Olduğu</w:t>
                  </w:r>
                  <w:proofErr w:type="spellEnd"/>
                  <w:r w:rsidRPr="00D6313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Kazanç</w:t>
                  </w:r>
                  <w:proofErr w:type="spellEnd"/>
                  <w:r w:rsidRPr="00D6313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b/>
                      <w:bCs/>
                      <w:sz w:val="22"/>
                      <w:szCs w:val="22"/>
                    </w:rPr>
                    <w:t>Türleri</w:t>
                  </w:r>
                  <w:proofErr w:type="spellEnd"/>
                </w:p>
              </w:tc>
              <w:tc>
                <w:tcPr>
                  <w:tcW w:w="5760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 xml:space="preserve">: Ticari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Kazanç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Zirai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Kazanç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A3A72" w:rsidRPr="00D63136" w:rsidRDefault="00FA3A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> </w:t>
            </w:r>
          </w:p>
          <w:p w:rsidR="00FA3A72" w:rsidRPr="00D63136" w:rsidRDefault="00FA3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213 </w:t>
            </w:r>
            <w:proofErr w:type="spellStart"/>
            <w:r w:rsidRPr="00D63136">
              <w:rPr>
                <w:sz w:val="22"/>
                <w:szCs w:val="22"/>
              </w:rPr>
              <w:t>sayılı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Vergi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Usul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Kanununun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mükerrer</w:t>
            </w:r>
            <w:proofErr w:type="spellEnd"/>
            <w:r w:rsidRPr="00D63136">
              <w:rPr>
                <w:sz w:val="22"/>
                <w:szCs w:val="22"/>
              </w:rPr>
              <w:t xml:space="preserve"> 298 </w:t>
            </w:r>
            <w:proofErr w:type="spellStart"/>
            <w:r w:rsidRPr="00D63136">
              <w:rPr>
                <w:sz w:val="22"/>
                <w:szCs w:val="22"/>
              </w:rPr>
              <w:t>inci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maddesinin</w:t>
            </w:r>
            <w:proofErr w:type="spellEnd"/>
            <w:r w:rsidRPr="00D63136">
              <w:rPr>
                <w:sz w:val="22"/>
                <w:szCs w:val="22"/>
              </w:rPr>
              <w:t xml:space="preserve"> (B) </w:t>
            </w:r>
            <w:proofErr w:type="spellStart"/>
            <w:r w:rsidRPr="00D63136">
              <w:rPr>
                <w:sz w:val="22"/>
                <w:szCs w:val="22"/>
              </w:rPr>
              <w:t>fıkrasına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istinaden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yıllık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olarak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hesaplanan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ve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Bakanlığımızca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ilan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edilen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yeniden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değerleme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oranına</w:t>
            </w:r>
            <w:proofErr w:type="spellEnd"/>
            <w:r w:rsidRPr="00D63136">
              <w:rPr>
                <w:sz w:val="22"/>
                <w:szCs w:val="22"/>
              </w:rPr>
              <w:t xml:space="preserve">, </w:t>
            </w:r>
            <w:proofErr w:type="spellStart"/>
            <w:r w:rsidRPr="00D63136">
              <w:rPr>
                <w:sz w:val="22"/>
                <w:szCs w:val="22"/>
              </w:rPr>
              <w:t>vergi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kanunlarından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kaynaklanan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nedenlerden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dolayı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geçici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vergi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dönemlerinde</w:t>
            </w:r>
            <w:proofErr w:type="spellEnd"/>
            <w:r w:rsidRPr="00D63136">
              <w:rPr>
                <w:sz w:val="22"/>
                <w:szCs w:val="22"/>
              </w:rPr>
              <w:t xml:space="preserve"> de </w:t>
            </w:r>
            <w:proofErr w:type="spellStart"/>
            <w:r w:rsidRPr="00D63136">
              <w:rPr>
                <w:sz w:val="22"/>
                <w:szCs w:val="22"/>
              </w:rPr>
              <w:t>ihtiyaç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duyulmaktadır</w:t>
            </w:r>
            <w:proofErr w:type="spellEnd"/>
            <w:r w:rsidRPr="00D63136">
              <w:rPr>
                <w:sz w:val="22"/>
                <w:szCs w:val="22"/>
              </w:rPr>
              <w:t xml:space="preserve">. </w:t>
            </w:r>
          </w:p>
          <w:p w:rsidR="00FA3A72" w:rsidRPr="00D63136" w:rsidRDefault="00FA3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2012 </w:t>
            </w:r>
            <w:proofErr w:type="spellStart"/>
            <w:r w:rsidRPr="00D63136">
              <w:rPr>
                <w:sz w:val="22"/>
                <w:szCs w:val="22"/>
              </w:rPr>
              <w:t>yılı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üçüncü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geçici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vergi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döneminde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uygulanacak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yeniden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değerleme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oranı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r w:rsidRPr="00D63136">
              <w:rPr>
                <w:b/>
                <w:bCs/>
                <w:sz w:val="22"/>
                <w:szCs w:val="22"/>
                <w:u w:val="single"/>
              </w:rPr>
              <w:t>%6</w:t>
            </w:r>
            <w:proofErr w:type="gramStart"/>
            <w:r w:rsidRPr="00D63136">
              <w:rPr>
                <w:b/>
                <w:bCs/>
                <w:sz w:val="22"/>
                <w:szCs w:val="22"/>
                <w:u w:val="single"/>
              </w:rPr>
              <w:t>,05</w:t>
            </w:r>
            <w:proofErr w:type="gramEnd"/>
            <w:r w:rsidRPr="00D63136">
              <w:rPr>
                <w:b/>
                <w:bCs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D63136">
              <w:rPr>
                <w:b/>
                <w:bCs/>
                <w:sz w:val="22"/>
                <w:szCs w:val="22"/>
                <w:u w:val="single"/>
              </w:rPr>
              <w:t>yüzde</w:t>
            </w:r>
            <w:proofErr w:type="spellEnd"/>
            <w:r w:rsidRPr="00D6313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  <w:u w:val="single"/>
              </w:rPr>
              <w:t>altı</w:t>
            </w:r>
            <w:proofErr w:type="spellEnd"/>
            <w:r w:rsidRPr="00D6313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  <w:u w:val="single"/>
              </w:rPr>
              <w:t>virgül</w:t>
            </w:r>
            <w:proofErr w:type="spellEnd"/>
            <w:r w:rsidRPr="00D6313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  <w:u w:val="single"/>
              </w:rPr>
              <w:t>sıfır</w:t>
            </w:r>
            <w:proofErr w:type="spellEnd"/>
            <w:r w:rsidRPr="00D6313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63136">
              <w:rPr>
                <w:b/>
                <w:bCs/>
                <w:sz w:val="22"/>
                <w:szCs w:val="22"/>
                <w:u w:val="single"/>
              </w:rPr>
              <w:t>beş</w:t>
            </w:r>
            <w:proofErr w:type="spellEnd"/>
            <w:r w:rsidRPr="00D63136">
              <w:rPr>
                <w:b/>
                <w:bCs/>
                <w:sz w:val="22"/>
                <w:szCs w:val="22"/>
                <w:u w:val="single"/>
              </w:rPr>
              <w:t>)</w:t>
            </w:r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olarak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tespit</w:t>
            </w:r>
            <w:proofErr w:type="spellEnd"/>
            <w:r w:rsidRPr="00D63136">
              <w:rPr>
                <w:sz w:val="22"/>
                <w:szCs w:val="22"/>
              </w:rPr>
              <w:t xml:space="preserve"> </w:t>
            </w:r>
            <w:proofErr w:type="spellStart"/>
            <w:r w:rsidRPr="00D63136">
              <w:rPr>
                <w:sz w:val="22"/>
                <w:szCs w:val="22"/>
              </w:rPr>
              <w:t>edilmiştir</w:t>
            </w:r>
            <w:proofErr w:type="spellEnd"/>
            <w:r w:rsidRPr="00D63136">
              <w:rPr>
                <w:sz w:val="22"/>
                <w:szCs w:val="22"/>
              </w:rPr>
              <w:t xml:space="preserve">. </w:t>
            </w:r>
          </w:p>
          <w:p w:rsidR="00FA3A72" w:rsidRPr="00D63136" w:rsidRDefault="00FA3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D63136">
              <w:rPr>
                <w:sz w:val="22"/>
                <w:szCs w:val="22"/>
              </w:rPr>
              <w:t>Duyurulur</w:t>
            </w:r>
            <w:proofErr w:type="spellEnd"/>
            <w:r w:rsidRPr="00D63136">
              <w:rPr>
                <w:sz w:val="22"/>
                <w:szCs w:val="22"/>
              </w:rPr>
              <w:t xml:space="preserve">. </w:t>
            </w:r>
          </w:p>
          <w:p w:rsidR="00FA3A72" w:rsidRPr="00D63136" w:rsidRDefault="00FA3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6"/>
              <w:gridCol w:w="1836"/>
              <w:gridCol w:w="1296"/>
              <w:gridCol w:w="2388"/>
            </w:tblGrid>
            <w:tr w:rsidR="00FA3A72" w:rsidRPr="00D63136">
              <w:trPr>
                <w:tblCellSpacing w:w="0" w:type="dxa"/>
              </w:trPr>
              <w:tc>
                <w:tcPr>
                  <w:tcW w:w="1356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36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96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8" w:type="dxa"/>
                  <w:hideMark/>
                </w:tcPr>
                <w:p w:rsidR="00FA3A72" w:rsidRPr="00D63136" w:rsidRDefault="00FA3A7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D63136">
                    <w:rPr>
                      <w:sz w:val="22"/>
                      <w:szCs w:val="22"/>
                    </w:rPr>
                    <w:t>Mehmet KİLCİ</w:t>
                  </w:r>
                </w:p>
                <w:p w:rsidR="00FA3A72" w:rsidRPr="00D63136" w:rsidRDefault="00FA3A72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D63136">
                    <w:rPr>
                      <w:sz w:val="22"/>
                      <w:szCs w:val="22"/>
                    </w:rPr>
                    <w:t>Gelir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İdaresi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63136">
                    <w:rPr>
                      <w:sz w:val="22"/>
                      <w:szCs w:val="22"/>
                    </w:rPr>
                    <w:t>Başkanı</w:t>
                  </w:r>
                  <w:proofErr w:type="spellEnd"/>
                  <w:r w:rsidRPr="00D6313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A3A72" w:rsidRPr="00D63136" w:rsidRDefault="00FA3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> </w:t>
            </w:r>
          </w:p>
          <w:p w:rsidR="00FA3A72" w:rsidRPr="00D63136" w:rsidRDefault="00FA3A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> </w:t>
            </w:r>
          </w:p>
          <w:p w:rsidR="00FA3A72" w:rsidRPr="00D63136" w:rsidRDefault="00FA3A72" w:rsidP="00D6313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FA3A72" w:rsidRPr="00D63136" w:rsidRDefault="00FA3A72" w:rsidP="00FA3A72">
      <w:pPr>
        <w:rPr>
          <w:sz w:val="22"/>
          <w:szCs w:val="22"/>
        </w:rPr>
      </w:pPr>
      <w:r w:rsidRPr="00D63136">
        <w:rPr>
          <w:noProof/>
          <w:sz w:val="22"/>
          <w:szCs w:val="22"/>
        </w:rPr>
        <w:lastRenderedPageBreak/>
        <w:pict>
          <v:shape id="Resim 4" o:spid="_x0000_i1026" type="#_x0000_t75" alt="http://www.gib.gov.tr/clear.gif" style="width:.75pt;height:7.5pt;visibility:visible">
            <v:imagedata r:id="rId8" o:title="clear"/>
          </v:shape>
        </w:pict>
      </w:r>
    </w:p>
    <w:p w:rsidR="00FA3A72" w:rsidRPr="00D63136" w:rsidRDefault="00FA3A72" w:rsidP="00FA3A72">
      <w:pPr>
        <w:spacing w:before="100" w:beforeAutospacing="1" w:after="100" w:afterAutospacing="1"/>
        <w:outlineLvl w:val="0"/>
        <w:rPr>
          <w:rStyle w:val="Gl"/>
          <w:sz w:val="22"/>
          <w:szCs w:val="22"/>
        </w:rPr>
      </w:pPr>
    </w:p>
    <w:p w:rsidR="006E731E" w:rsidRPr="00F91688" w:rsidRDefault="006E731E" w:rsidP="00FA3A72">
      <w:pPr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6E731E" w:rsidRPr="00F91688" w:rsidSect="005F07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D9" w:rsidRDefault="00F561D9" w:rsidP="00053CFC">
      <w:r>
        <w:separator/>
      </w:r>
    </w:p>
  </w:endnote>
  <w:endnote w:type="continuationSeparator" w:id="0">
    <w:p w:rsidR="00F561D9" w:rsidRDefault="00F561D9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F7" w:rsidRDefault="003412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102A00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D9" w:rsidRDefault="00F561D9" w:rsidP="00053CFC">
      <w:r>
        <w:separator/>
      </w:r>
    </w:p>
  </w:footnote>
  <w:footnote w:type="continuationSeparator" w:id="0">
    <w:p w:rsidR="00F561D9" w:rsidRDefault="00F561D9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025E27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025E2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C"/>
      </v:shape>
    </w:pict>
  </w:numPicBullet>
  <w:numPicBullet w:numPicBulletId="1">
    <w:pict>
      <v:shape id="_x0000_i1029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0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DBF"/>
    <w:rsid w:val="0016718B"/>
    <w:rsid w:val="00167FA9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80DDF"/>
    <w:rsid w:val="00181126"/>
    <w:rsid w:val="00182893"/>
    <w:rsid w:val="001834ED"/>
    <w:rsid w:val="00183722"/>
    <w:rsid w:val="0018527B"/>
    <w:rsid w:val="001928FE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506A"/>
    <w:rsid w:val="002A65D0"/>
    <w:rsid w:val="002A666A"/>
    <w:rsid w:val="002A6732"/>
    <w:rsid w:val="002A71E7"/>
    <w:rsid w:val="002A7548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516"/>
    <w:rsid w:val="004979CB"/>
    <w:rsid w:val="004A06E5"/>
    <w:rsid w:val="004A0DEC"/>
    <w:rsid w:val="004A13EE"/>
    <w:rsid w:val="004A196F"/>
    <w:rsid w:val="004A290E"/>
    <w:rsid w:val="004A2E32"/>
    <w:rsid w:val="004A3681"/>
    <w:rsid w:val="004A4239"/>
    <w:rsid w:val="004A5ABA"/>
    <w:rsid w:val="004A5F51"/>
    <w:rsid w:val="004A794C"/>
    <w:rsid w:val="004A7964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10985"/>
    <w:rsid w:val="00515D58"/>
    <w:rsid w:val="005209AA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921"/>
    <w:rsid w:val="00740F29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27B5"/>
    <w:rsid w:val="0090330E"/>
    <w:rsid w:val="0090342D"/>
    <w:rsid w:val="00903586"/>
    <w:rsid w:val="00903960"/>
    <w:rsid w:val="00904D04"/>
    <w:rsid w:val="0090502E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A185C"/>
    <w:rsid w:val="009A3068"/>
    <w:rsid w:val="009A50F6"/>
    <w:rsid w:val="009A5B9E"/>
    <w:rsid w:val="009B0683"/>
    <w:rsid w:val="009B1A6D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3463"/>
    <w:rsid w:val="00A835B1"/>
    <w:rsid w:val="00A83917"/>
    <w:rsid w:val="00A843ED"/>
    <w:rsid w:val="00A94029"/>
    <w:rsid w:val="00A96A52"/>
    <w:rsid w:val="00A96A9C"/>
    <w:rsid w:val="00AA1AD8"/>
    <w:rsid w:val="00AA3B1C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33EE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3136"/>
    <w:rsid w:val="00D657BB"/>
    <w:rsid w:val="00D676E7"/>
    <w:rsid w:val="00D67D90"/>
    <w:rsid w:val="00D67F90"/>
    <w:rsid w:val="00D709C3"/>
    <w:rsid w:val="00D711A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561D9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1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0">
    <w:name w:val="normal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BodyText2">
    <w:name w:val="Body Text 2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271B-4BCB-4E3A-8D38-6A1A5CDE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as</cp:lastModifiedBy>
  <cp:revision>2</cp:revision>
  <cp:lastPrinted>2008-11-05T15:07:00Z</cp:lastPrinted>
  <dcterms:created xsi:type="dcterms:W3CDTF">2012-10-17T11:34:00Z</dcterms:created>
  <dcterms:modified xsi:type="dcterms:W3CDTF">2012-10-17T11:34:00Z</dcterms:modified>
</cp:coreProperties>
</file>